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DA" w:rsidRPr="003B678E" w:rsidRDefault="004F15F8" w:rsidP="004032DA">
      <w:pPr>
        <w:jc w:val="center"/>
        <w:rPr>
          <w:rFonts w:ascii="Garamond" w:hAnsi="Garamond"/>
          <w:b/>
          <w:sz w:val="40"/>
        </w:rPr>
      </w:pPr>
      <w:r>
        <w:rPr>
          <w:rFonts w:ascii="Garamond" w:hAnsi="Garamond"/>
          <w:b/>
          <w:sz w:val="40"/>
        </w:rPr>
        <w:t>Libertinism, Sk</w:t>
      </w:r>
      <w:r w:rsidR="004032DA" w:rsidRPr="003B678E">
        <w:rPr>
          <w:rFonts w:ascii="Garamond" w:hAnsi="Garamond"/>
          <w:b/>
          <w:sz w:val="40"/>
        </w:rPr>
        <w:t>epticism, and Free Thought</w:t>
      </w:r>
    </w:p>
    <w:p w:rsidR="004032DA" w:rsidRPr="003B678E" w:rsidRDefault="004032DA" w:rsidP="004032DA">
      <w:pPr>
        <w:jc w:val="center"/>
        <w:rPr>
          <w:rFonts w:ascii="Garamond" w:hAnsi="Garamond"/>
          <w:b/>
          <w:sz w:val="28"/>
        </w:rPr>
      </w:pPr>
      <w:r w:rsidRPr="003B678E">
        <w:rPr>
          <w:rFonts w:ascii="Garamond" w:hAnsi="Garamond"/>
          <w:b/>
          <w:sz w:val="28"/>
        </w:rPr>
        <w:t>by courtesy of Prof. R.F.W. Kroll</w:t>
      </w:r>
    </w:p>
    <w:p w:rsidR="004032DA" w:rsidRPr="003B678E" w:rsidRDefault="004032DA" w:rsidP="004032DA">
      <w:pPr>
        <w:rPr>
          <w:rFonts w:ascii="Garamond" w:hAnsi="Garamond"/>
          <w:sz w:val="24"/>
        </w:rPr>
      </w:pP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  <w:r w:rsidRPr="003B678E">
        <w:rPr>
          <w:rFonts w:ascii="Garamond" w:hAnsi="Garamond"/>
          <w:sz w:val="24"/>
        </w:rPr>
        <w:t>The importance of French thought is very great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 xml:space="preserve">(You may remember that many court members spent their exile in France.)  In his edition of French libertine writings, Antoine Adam chronologically sketches three traditions of libertinism (see </w:t>
      </w:r>
      <w:r w:rsidRPr="003B678E">
        <w:rPr>
          <w:rFonts w:ascii="Garamond" w:hAnsi="Garamond"/>
          <w:sz w:val="24"/>
          <w:u w:val="single"/>
        </w:rPr>
        <w:t>Les libertines de la XVIIe siècle</w:t>
      </w:r>
      <w:r w:rsidRPr="003B678E">
        <w:rPr>
          <w:rFonts w:ascii="Garamond" w:hAnsi="Garamond"/>
          <w:sz w:val="24"/>
        </w:rPr>
        <w:t>):</w:t>
      </w: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  <w:r w:rsidRPr="003B678E">
        <w:rPr>
          <w:rFonts w:ascii="Garamond" w:hAnsi="Garamond"/>
          <w:b/>
          <w:sz w:val="24"/>
        </w:rPr>
        <w:t>(a)</w:t>
      </w:r>
      <w:r w:rsidRPr="003B678E">
        <w:rPr>
          <w:rFonts w:ascii="Garamond" w:hAnsi="Garamond"/>
          <w:sz w:val="24"/>
        </w:rPr>
        <w:t xml:space="preserve">  </w:t>
      </w:r>
      <w:r w:rsidRPr="003B678E">
        <w:rPr>
          <w:rFonts w:ascii="Garamond" w:hAnsi="Garamond"/>
          <w:i/>
          <w:sz w:val="24"/>
        </w:rPr>
        <w:t xml:space="preserve">Ethical Libertinism </w:t>
      </w:r>
      <w:r w:rsidRPr="003B678E">
        <w:rPr>
          <w:rFonts w:ascii="Garamond" w:hAnsi="Garamond"/>
          <w:sz w:val="24"/>
        </w:rPr>
        <w:t>(my term):  an early type of libertinism summed up in the life and thought of Théophile de Viau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After de Viau was arrested in 1623, the movement faded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Rochester is a late inheritor of this strain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de Viau held that</w:t>
      </w: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</w:p>
    <w:p w:rsidR="004032DA" w:rsidRPr="003B678E" w:rsidRDefault="004032DA" w:rsidP="004032DA">
      <w:pPr>
        <w:ind w:left="720" w:right="1440"/>
        <w:jc w:val="both"/>
        <w:rPr>
          <w:rFonts w:ascii="Garamond" w:hAnsi="Garamond"/>
          <w:sz w:val="24"/>
        </w:rPr>
      </w:pPr>
      <w:r w:rsidRPr="003B678E">
        <w:rPr>
          <w:rFonts w:ascii="Garamond" w:hAnsi="Garamond"/>
          <w:sz w:val="24"/>
        </w:rPr>
        <w:t>man, not above nature, but radically planted within matter, follows the same laws as the animals, dominated by his passions, inconstant and unpre-dictable, despite attempting to follow the prompting of a free and certain human will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(Adam 9, my translation)</w:t>
      </w:r>
    </w:p>
    <w:p w:rsidR="004032DA" w:rsidRPr="003B678E" w:rsidRDefault="004032DA" w:rsidP="004032DA">
      <w:pPr>
        <w:ind w:left="1440" w:right="1440"/>
        <w:jc w:val="both"/>
        <w:rPr>
          <w:rFonts w:ascii="Garamond" w:hAnsi="Garamond"/>
          <w:sz w:val="24"/>
        </w:rPr>
      </w:pP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  <w:bookmarkStart w:id="0" w:name="_GoBack"/>
      <w:bookmarkEnd w:id="0"/>
      <w:r w:rsidRPr="003B678E">
        <w:rPr>
          <w:rFonts w:ascii="Garamond" w:hAnsi="Garamond"/>
          <w:b/>
          <w:sz w:val="24"/>
        </w:rPr>
        <w:t xml:space="preserve">(b)  </w:t>
      </w:r>
      <w:r w:rsidRPr="003B678E">
        <w:rPr>
          <w:rFonts w:ascii="Garamond" w:hAnsi="Garamond"/>
          <w:i/>
          <w:sz w:val="24"/>
        </w:rPr>
        <w:t>Le Libertinage Érudit</w:t>
      </w:r>
      <w:r w:rsidRPr="003B678E">
        <w:rPr>
          <w:rFonts w:ascii="Garamond" w:hAnsi="Garamond"/>
          <w:sz w:val="24"/>
        </w:rPr>
        <w:t xml:space="preserve"> (“erudite libertinism”):  adopted by the middle classes, college professors, and clergymen who encouraged among themselves a spirit of free inquiry and left no orthodoxy unexamined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 xml:space="preserve">They have been falsely portrayed, according to Richard Popkin in his </w:t>
      </w:r>
      <w:r w:rsidRPr="003B678E">
        <w:rPr>
          <w:rFonts w:ascii="Garamond" w:hAnsi="Garamond"/>
          <w:sz w:val="24"/>
          <w:u w:val="single"/>
        </w:rPr>
        <w:t>History of Scepticism from Erasmus to Spinoza</w:t>
      </w:r>
      <w:r w:rsidRPr="003B678E">
        <w:rPr>
          <w:rFonts w:ascii="Garamond" w:hAnsi="Garamond"/>
          <w:sz w:val="24"/>
        </w:rPr>
        <w:t>, as “subtle, clever, sophisticated men engaged in a sort of conspiracy to undermine confidence in orthodoxy and traditional intellectual authority” (Popkin 87-88)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 xml:space="preserve">Their position </w:t>
      </w:r>
      <w:r w:rsidRPr="003B678E">
        <w:rPr>
          <w:rFonts w:ascii="Garamond" w:hAnsi="Garamond"/>
          <w:i/>
          <w:sz w:val="24"/>
        </w:rPr>
        <w:t>vis à vis</w:t>
      </w:r>
      <w:r w:rsidRPr="003B678E">
        <w:rPr>
          <w:rFonts w:ascii="Garamond" w:hAnsi="Garamond"/>
          <w:sz w:val="24"/>
        </w:rPr>
        <w:t xml:space="preserve"> religion took either the view that (i) we cannot really know anything for certain, so we must throw ourselves upon God in blind faith (fideism); or that (ii) we cannot know anything for certain, but must admit the probabilities of the Christian faith and the rules which appear to govern the conduct of ordinary life.</w:t>
      </w: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  <w:r w:rsidRPr="003B678E">
        <w:rPr>
          <w:rFonts w:ascii="Garamond" w:hAnsi="Garamond"/>
          <w:b/>
          <w:sz w:val="24"/>
        </w:rPr>
        <w:t>(c)</w:t>
      </w:r>
      <w:r w:rsidRPr="003B678E">
        <w:rPr>
          <w:rFonts w:ascii="Garamond" w:hAnsi="Garamond"/>
          <w:sz w:val="24"/>
        </w:rPr>
        <w:t xml:space="preserve">  </w:t>
      </w:r>
      <w:r w:rsidRPr="003B678E">
        <w:rPr>
          <w:rFonts w:ascii="Garamond" w:hAnsi="Garamond"/>
          <w:i/>
          <w:sz w:val="24"/>
        </w:rPr>
        <w:t>The Madame Deshoulières Circle</w:t>
      </w:r>
      <w:r w:rsidRPr="003B678E">
        <w:rPr>
          <w:rFonts w:ascii="Garamond" w:hAnsi="Garamond"/>
          <w:sz w:val="24"/>
        </w:rPr>
        <w:t>:  like the form of libertinism in (b), this flourished in the mid- and late-seventeenth century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Its members were influenced by the philosophy of Epicurus, whom they did not treat as an ethical libertine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According to Adam, they were “obsessed by the image of death”; consequently, they “felt beauty deeply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They had a sort of adoration of it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It is fragile, ephemeral, but it allows for optimism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Man alone is unhappy . . . it is society which is the cause of our misfortunes [and] we can see that evil is in the heart of man . . . [T]he libertines of the second half of the century thought . . . that the intellect, or . . . the conscience, is the true cause of our misery” (Adam 23, my translation)</w:t>
      </w:r>
      <w:r w:rsidR="00A73EA2">
        <w:rPr>
          <w:rFonts w:ascii="Garamond" w:hAnsi="Garamond"/>
          <w:sz w:val="24"/>
        </w:rPr>
        <w:t xml:space="preserve">. </w:t>
      </w:r>
      <w:r w:rsidRPr="003B678E">
        <w:rPr>
          <w:rFonts w:ascii="Garamond" w:hAnsi="Garamond"/>
          <w:sz w:val="24"/>
        </w:rPr>
        <w:t>This all resulted in quietism, the abdication of desire and thought in an almost religious attempt to rest in the Eternal Being and the Infinite Good.</w:t>
      </w:r>
    </w:p>
    <w:p w:rsidR="004032DA" w:rsidRPr="003B678E" w:rsidRDefault="004032DA" w:rsidP="004032DA">
      <w:pPr>
        <w:jc w:val="both"/>
        <w:rPr>
          <w:rFonts w:ascii="Garamond" w:hAnsi="Garamond"/>
          <w:sz w:val="24"/>
        </w:rPr>
      </w:pPr>
    </w:p>
    <w:p w:rsidR="00E0295A" w:rsidRDefault="00E0295A"/>
    <w:sectPr w:rsidR="00E0295A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08" w:rsidRDefault="00423808">
      <w:r>
        <w:separator/>
      </w:r>
    </w:p>
  </w:endnote>
  <w:endnote w:type="continuationSeparator" w:id="0">
    <w:p w:rsidR="00423808" w:rsidRDefault="0042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CE" w:rsidRDefault="00423808">
    <w:pPr>
      <w:pStyle w:val="Footer"/>
      <w:jc w:val="right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08" w:rsidRDefault="00423808">
      <w:r>
        <w:separator/>
      </w:r>
    </w:p>
  </w:footnote>
  <w:footnote w:type="continuationSeparator" w:id="0">
    <w:p w:rsidR="00423808" w:rsidRDefault="0042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CE" w:rsidRDefault="004032DA" w:rsidP="003B67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9CE" w:rsidRDefault="00423808" w:rsidP="003B67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8E" w:rsidRDefault="00423808" w:rsidP="003B678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DA"/>
    <w:rsid w:val="004032DA"/>
    <w:rsid w:val="00423808"/>
    <w:rsid w:val="004F15F8"/>
    <w:rsid w:val="005D13F6"/>
    <w:rsid w:val="00655902"/>
    <w:rsid w:val="00673D40"/>
    <w:rsid w:val="006E10B0"/>
    <w:rsid w:val="0077594F"/>
    <w:rsid w:val="00866180"/>
    <w:rsid w:val="008A6046"/>
    <w:rsid w:val="00937945"/>
    <w:rsid w:val="00A73EA2"/>
    <w:rsid w:val="00AE2A21"/>
    <w:rsid w:val="00D65CE4"/>
    <w:rsid w:val="00E0295A"/>
    <w:rsid w:val="00F0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A1D7-C921-4BD6-B334-733B383B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Schoolbook" w:eastAsia="Times New Roman" w:hAnsi="Century Schoolbook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032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032DA"/>
    <w:rPr>
      <w:rFonts w:ascii="Century Schoolbook" w:eastAsia="Times New Roman" w:hAnsi="Century Schoolbook" w:cs="Times New Roman"/>
      <w:sz w:val="22"/>
      <w:szCs w:val="20"/>
    </w:rPr>
  </w:style>
  <w:style w:type="character" w:styleId="PageNumber">
    <w:name w:val="page number"/>
    <w:semiHidden/>
    <w:rsid w:val="004032DA"/>
  </w:style>
  <w:style w:type="paragraph" w:styleId="Footer">
    <w:name w:val="footer"/>
    <w:basedOn w:val="Normal"/>
    <w:link w:val="FooterChar"/>
    <w:semiHidden/>
    <w:rsid w:val="004032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032DA"/>
    <w:rPr>
      <w:rFonts w:ascii="Century Schoolbook" w:eastAsia="Times New Roman" w:hAnsi="Century Schoolbook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2227</Characters>
  <Application>Microsoft Office Word</Application>
  <DocSecurity>0</DocSecurity>
  <Lines>171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J. Drake</dc:creator>
  <cp:keywords/>
  <dc:description/>
  <cp:lastModifiedBy>Microsoft account</cp:lastModifiedBy>
  <cp:revision>4</cp:revision>
  <cp:lastPrinted>2023-02-09T05:47:00Z</cp:lastPrinted>
  <dcterms:created xsi:type="dcterms:W3CDTF">2022-12-08T14:59:00Z</dcterms:created>
  <dcterms:modified xsi:type="dcterms:W3CDTF">2023-02-10T19:57:00Z</dcterms:modified>
</cp:coreProperties>
</file>