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2B" w:rsidRDefault="00C82E2B" w:rsidP="00991819">
      <w:pPr>
        <w:jc w:val="center"/>
        <w:rPr>
          <w:rFonts w:ascii="Palatino Linotype" w:hAnsi="Palatino Linotype" w:cs="Garamond"/>
          <w:b/>
          <w:bCs/>
          <w:sz w:val="28"/>
          <w:szCs w:val="32"/>
        </w:rPr>
      </w:pPr>
      <w:r>
        <w:rPr>
          <w:rFonts w:ascii="Palatino Linotype" w:hAnsi="Palatino Linotype" w:cs="Garamond"/>
          <w:b/>
          <w:bCs/>
          <w:sz w:val="28"/>
          <w:szCs w:val="32"/>
        </w:rPr>
        <w:t xml:space="preserve">George </w:t>
      </w:r>
      <w:r w:rsidR="00340EBB" w:rsidRPr="00991819">
        <w:rPr>
          <w:rFonts w:ascii="Palatino Linotype" w:hAnsi="Palatino Linotype" w:cs="Garamond"/>
          <w:b/>
          <w:bCs/>
          <w:sz w:val="28"/>
          <w:szCs w:val="32"/>
        </w:rPr>
        <w:t xml:space="preserve">Herbert, </w:t>
      </w:r>
      <w:r>
        <w:rPr>
          <w:rFonts w:ascii="Palatino Linotype" w:hAnsi="Palatino Linotype" w:cs="Garamond"/>
          <w:b/>
          <w:bCs/>
          <w:sz w:val="28"/>
          <w:szCs w:val="32"/>
        </w:rPr>
        <w:t xml:space="preserve">Sir Thomas </w:t>
      </w:r>
      <w:r w:rsidR="00340EBB" w:rsidRPr="00991819">
        <w:rPr>
          <w:rFonts w:ascii="Palatino Linotype" w:hAnsi="Palatino Linotype" w:cs="Garamond"/>
          <w:b/>
          <w:bCs/>
          <w:sz w:val="28"/>
          <w:szCs w:val="32"/>
        </w:rPr>
        <w:t xml:space="preserve">Wyatt, </w:t>
      </w:r>
      <w:r>
        <w:rPr>
          <w:rFonts w:ascii="Palatino Linotype" w:hAnsi="Palatino Linotype" w:cs="Garamond"/>
          <w:b/>
          <w:bCs/>
          <w:sz w:val="28"/>
          <w:szCs w:val="32"/>
        </w:rPr>
        <w:t>Petrarch</w:t>
      </w:r>
      <w:r w:rsidR="00340EBB" w:rsidRPr="00991819">
        <w:rPr>
          <w:rFonts w:ascii="Palatino Linotype" w:hAnsi="Palatino Linotype" w:cs="Garamond"/>
          <w:b/>
          <w:bCs/>
          <w:sz w:val="28"/>
          <w:szCs w:val="32"/>
        </w:rPr>
        <w:t xml:space="preserve">, and the </w:t>
      </w:r>
      <w:r w:rsidR="00340EBB" w:rsidRPr="00991819">
        <w:rPr>
          <w:rFonts w:ascii="Palatino Linotype" w:hAnsi="Palatino Linotype" w:cs="Garamond"/>
          <w:b/>
          <w:bCs/>
          <w:i/>
          <w:iCs/>
          <w:sz w:val="28"/>
          <w:szCs w:val="32"/>
        </w:rPr>
        <w:t>Gospels</w:t>
      </w:r>
      <w:r>
        <w:rPr>
          <w:rFonts w:ascii="Palatino Linotype" w:hAnsi="Palatino Linotype" w:cs="Garamond"/>
          <w:b/>
          <w:bCs/>
          <w:sz w:val="28"/>
          <w:szCs w:val="32"/>
        </w:rPr>
        <w:t xml:space="preserve"> </w:t>
      </w:r>
    </w:p>
    <w:p w:rsidR="00340EBB" w:rsidRPr="00991819" w:rsidRDefault="00C82E2B" w:rsidP="00991819">
      <w:pPr>
        <w:jc w:val="center"/>
        <w:rPr>
          <w:rFonts w:ascii="Palatino Linotype" w:hAnsi="Palatino Linotype" w:cs="Garamond"/>
          <w:b/>
          <w:bCs/>
          <w:sz w:val="28"/>
          <w:szCs w:val="32"/>
        </w:rPr>
      </w:pPr>
      <w:r>
        <w:rPr>
          <w:rFonts w:ascii="Palatino Linotype" w:hAnsi="Palatino Linotype" w:cs="Garamond"/>
          <w:b/>
          <w:bCs/>
          <w:sz w:val="28"/>
          <w:szCs w:val="32"/>
        </w:rPr>
        <w:t>C</w:t>
      </w:r>
      <w:r w:rsidR="00340EBB" w:rsidRPr="00991819">
        <w:rPr>
          <w:rFonts w:ascii="Palatino Linotype" w:hAnsi="Palatino Linotype" w:cs="Garamond"/>
          <w:b/>
          <w:bCs/>
          <w:sz w:val="28"/>
          <w:szCs w:val="32"/>
        </w:rPr>
        <w:t>ourtesy of Prof. Harold Toliver</w:t>
      </w:r>
      <w:r>
        <w:rPr>
          <w:rFonts w:ascii="Palatino Linotype" w:hAnsi="Palatino Linotype" w:cs="Garamond"/>
          <w:b/>
          <w:bCs/>
          <w:sz w:val="28"/>
          <w:szCs w:val="32"/>
        </w:rPr>
        <w:t xml:space="preserve"> of UC Irvine</w:t>
      </w:r>
    </w:p>
    <w:p w:rsidR="00A33629" w:rsidRDefault="00A33629" w:rsidP="00340EBB">
      <w:pPr>
        <w:jc w:val="center"/>
        <w:rPr>
          <w:rFonts w:ascii="Palatino Linotype" w:hAnsi="Palatino Linotype" w:cs="Garamond"/>
          <w:szCs w:val="20"/>
        </w:rPr>
      </w:pPr>
    </w:p>
    <w:p w:rsidR="00340EBB" w:rsidRPr="00A33629" w:rsidRDefault="00A33629" w:rsidP="00A33629">
      <w:pPr>
        <w:ind w:left="1080"/>
        <w:rPr>
          <w:rFonts w:ascii="Palatino Linotype" w:hAnsi="Palatino Linotype" w:cs="Garamond"/>
          <w:b/>
          <w:szCs w:val="20"/>
        </w:rPr>
      </w:pPr>
      <w:r w:rsidRPr="00A33629">
        <w:rPr>
          <w:rFonts w:ascii="Palatino Linotype" w:hAnsi="Palatino Linotype" w:cs="Garamond"/>
          <w:b/>
          <w:szCs w:val="20"/>
        </w:rPr>
        <w:t>“The Pearl. Matth</w:t>
      </w:r>
      <w:r w:rsidRPr="00A33629">
        <w:rPr>
          <w:rFonts w:ascii="Palatino Linotype" w:hAnsi="Palatino Linotype" w:cs="Garamond"/>
          <w:b/>
          <w:szCs w:val="20"/>
        </w:rPr>
        <w:t>ew 13</w:t>
      </w:r>
      <w:r w:rsidRPr="00A33629">
        <w:rPr>
          <w:rFonts w:ascii="Palatino Linotype" w:hAnsi="Palatino Linotype" w:cs="Garamond"/>
          <w:b/>
          <w:szCs w:val="20"/>
        </w:rPr>
        <w:t>”</w:t>
      </w:r>
    </w:p>
    <w:p w:rsidR="00A33629" w:rsidRPr="00991819" w:rsidRDefault="00A33629" w:rsidP="00340EBB">
      <w:pPr>
        <w:jc w:val="center"/>
        <w:rPr>
          <w:rFonts w:ascii="Palatino Linotype" w:hAnsi="Palatino Linotype" w:cs="Garamond"/>
          <w:b/>
          <w:bCs/>
          <w:szCs w:val="20"/>
        </w:rPr>
      </w:pPr>
    </w:p>
    <w:p w:rsidR="001A78A0" w:rsidRDefault="001A78A0" w:rsidP="009D150E">
      <w:pPr>
        <w:ind w:left="1080"/>
        <w:rPr>
          <w:rFonts w:ascii="Palatino Linotype" w:hAnsi="Palatino Linotype" w:cs="Garamond"/>
          <w:bCs/>
          <w:szCs w:val="20"/>
        </w:rPr>
      </w:pPr>
      <w:r>
        <w:rPr>
          <w:rFonts w:ascii="Palatino Linotype" w:hAnsi="Palatino Linotype" w:cs="Garamond"/>
          <w:bCs/>
          <w:szCs w:val="20"/>
        </w:rPr>
        <w:t>I know the wayes of pleasure, the sweet strains,</w:t>
      </w:r>
    </w:p>
    <w:p w:rsidR="001A78A0" w:rsidRDefault="001A78A0" w:rsidP="009D150E">
      <w:pPr>
        <w:ind w:left="1080"/>
        <w:rPr>
          <w:rFonts w:ascii="Palatino Linotype" w:hAnsi="Palatino Linotype" w:cs="Garamond"/>
          <w:bCs/>
          <w:szCs w:val="20"/>
        </w:rPr>
      </w:pPr>
      <w:r>
        <w:rPr>
          <w:rFonts w:ascii="Palatino Linotype" w:hAnsi="Palatino Linotype" w:cs="Garamond"/>
          <w:bCs/>
          <w:szCs w:val="20"/>
        </w:rPr>
        <w:t>The lullings and the relishes of it;</w:t>
      </w:r>
    </w:p>
    <w:p w:rsidR="001A78A0" w:rsidRDefault="001A78A0" w:rsidP="009D150E">
      <w:pPr>
        <w:ind w:left="1080"/>
        <w:rPr>
          <w:rFonts w:ascii="Palatino Linotype" w:hAnsi="Palatino Linotype" w:cs="Garamond"/>
          <w:bCs/>
          <w:szCs w:val="20"/>
        </w:rPr>
      </w:pPr>
      <w:r>
        <w:rPr>
          <w:rFonts w:ascii="Palatino Linotype" w:hAnsi="Palatino Linotype" w:cs="Garamond"/>
          <w:bCs/>
          <w:szCs w:val="20"/>
        </w:rPr>
        <w:t>The propositions of hot bloud and brains;</w:t>
      </w:r>
    </w:p>
    <w:p w:rsidR="001A78A0" w:rsidRDefault="001A78A0" w:rsidP="009D150E">
      <w:pPr>
        <w:ind w:left="1080"/>
        <w:rPr>
          <w:rFonts w:ascii="Palatino Linotype" w:hAnsi="Palatino Linotype" w:cs="Garamond"/>
          <w:bCs/>
          <w:szCs w:val="20"/>
        </w:rPr>
      </w:pPr>
      <w:r>
        <w:rPr>
          <w:rFonts w:ascii="Palatino Linotype" w:hAnsi="Palatino Linotype" w:cs="Garamond"/>
          <w:bCs/>
          <w:szCs w:val="20"/>
        </w:rPr>
        <w:t>What mirth and musick mean; what love and wit</w:t>
      </w:r>
    </w:p>
    <w:p w:rsidR="001A78A0" w:rsidRDefault="001A78A0" w:rsidP="009D150E">
      <w:pPr>
        <w:ind w:left="1080"/>
        <w:rPr>
          <w:rFonts w:ascii="Palatino Linotype" w:hAnsi="Palatino Linotype" w:cs="Garamond"/>
          <w:bCs/>
          <w:szCs w:val="20"/>
        </w:rPr>
      </w:pPr>
      <w:r>
        <w:rPr>
          <w:rFonts w:ascii="Palatino Linotype" w:hAnsi="Palatino Linotype" w:cs="Garamond"/>
          <w:bCs/>
          <w:szCs w:val="20"/>
        </w:rPr>
        <w:t>Have done these twentie hundred yeares, and more:</w:t>
      </w:r>
    </w:p>
    <w:p w:rsidR="00340EBB" w:rsidRPr="009D150E" w:rsidRDefault="00340EBB" w:rsidP="009D150E">
      <w:pPr>
        <w:ind w:left="1080"/>
        <w:rPr>
          <w:rFonts w:ascii="Palatino Linotype" w:hAnsi="Palatino Linotype" w:cs="Garamond"/>
          <w:bCs/>
          <w:szCs w:val="20"/>
        </w:rPr>
      </w:pPr>
      <w:r w:rsidRPr="009D150E">
        <w:rPr>
          <w:rFonts w:ascii="Palatino Linotype" w:hAnsi="Palatino Linotype" w:cs="Garamond"/>
          <w:bCs/>
          <w:szCs w:val="20"/>
        </w:rPr>
        <w:t>I know the projects of unbridled store:</w:t>
      </w:r>
    </w:p>
    <w:p w:rsidR="00340EBB" w:rsidRPr="009D150E" w:rsidRDefault="00340EBB" w:rsidP="009D150E">
      <w:pPr>
        <w:ind w:left="1080"/>
        <w:rPr>
          <w:rFonts w:ascii="Palatino Linotype" w:hAnsi="Palatino Linotype" w:cs="Garamond"/>
          <w:bCs/>
          <w:szCs w:val="20"/>
        </w:rPr>
      </w:pPr>
      <w:r w:rsidRPr="009D150E">
        <w:rPr>
          <w:rFonts w:ascii="Palatino Linotype" w:hAnsi="Palatino Linotype" w:cs="Garamond"/>
          <w:bCs/>
          <w:szCs w:val="20"/>
        </w:rPr>
        <w:t>My stuff</w:t>
      </w:r>
      <w:r w:rsidR="001A78A0" w:rsidRPr="009D150E">
        <w:rPr>
          <w:rFonts w:ascii="Palatino Linotype" w:hAnsi="Palatino Linotype" w:cs="Garamond"/>
          <w:bCs/>
          <w:szCs w:val="20"/>
        </w:rPr>
        <w:t>e</w:t>
      </w:r>
      <w:r w:rsidRPr="009D150E">
        <w:rPr>
          <w:rFonts w:ascii="Palatino Linotype" w:hAnsi="Palatino Linotype" w:cs="Garamond"/>
          <w:bCs/>
          <w:szCs w:val="20"/>
        </w:rPr>
        <w:t xml:space="preserve"> is flesh, not brass</w:t>
      </w:r>
      <w:r w:rsidR="001A78A0" w:rsidRPr="009D150E">
        <w:rPr>
          <w:rFonts w:ascii="Palatino Linotype" w:hAnsi="Palatino Linotype" w:cs="Garamond"/>
          <w:bCs/>
          <w:szCs w:val="20"/>
        </w:rPr>
        <w:t>e</w:t>
      </w:r>
      <w:r w:rsidRPr="009D150E">
        <w:rPr>
          <w:rFonts w:ascii="Palatino Linotype" w:hAnsi="Palatino Linotype" w:cs="Garamond"/>
          <w:bCs/>
          <w:szCs w:val="20"/>
        </w:rPr>
        <w:t>; my senses live,</w:t>
      </w:r>
    </w:p>
    <w:p w:rsidR="00340EBB" w:rsidRPr="009D150E" w:rsidRDefault="00340EBB" w:rsidP="009D150E">
      <w:pPr>
        <w:ind w:left="1080"/>
        <w:rPr>
          <w:rFonts w:ascii="Palatino Linotype" w:hAnsi="Palatino Linotype" w:cs="Garamond"/>
          <w:bCs/>
          <w:szCs w:val="20"/>
        </w:rPr>
      </w:pPr>
      <w:r w:rsidRPr="009D150E">
        <w:rPr>
          <w:rFonts w:ascii="Palatino Linotype" w:hAnsi="Palatino Linotype" w:cs="Garamond"/>
          <w:bCs/>
          <w:szCs w:val="20"/>
        </w:rPr>
        <w:t>And grumble oft, that they have more in me</w:t>
      </w:r>
    </w:p>
    <w:p w:rsidR="00340EBB" w:rsidRPr="009D150E" w:rsidRDefault="00340EBB" w:rsidP="009D150E">
      <w:pPr>
        <w:ind w:left="1080"/>
        <w:rPr>
          <w:rFonts w:ascii="Palatino Linotype" w:hAnsi="Palatino Linotype" w:cs="Garamond"/>
          <w:bCs/>
          <w:szCs w:val="20"/>
        </w:rPr>
      </w:pPr>
      <w:r w:rsidRPr="009D150E">
        <w:rPr>
          <w:rFonts w:ascii="Palatino Linotype" w:hAnsi="Palatino Linotype" w:cs="Garamond"/>
          <w:bCs/>
          <w:szCs w:val="20"/>
        </w:rPr>
        <w:t>Th</w:t>
      </w:r>
      <w:r w:rsidR="001A78A0" w:rsidRPr="009D150E">
        <w:rPr>
          <w:rFonts w:ascii="Palatino Linotype" w:hAnsi="Palatino Linotype" w:cs="Garamond"/>
          <w:bCs/>
          <w:szCs w:val="20"/>
        </w:rPr>
        <w:t>e</w:t>
      </w:r>
      <w:r w:rsidRPr="009D150E">
        <w:rPr>
          <w:rFonts w:ascii="Palatino Linotype" w:hAnsi="Palatino Linotype" w:cs="Garamond"/>
          <w:bCs/>
          <w:szCs w:val="20"/>
        </w:rPr>
        <w:t>n he that curbs them, being but one to five:</w:t>
      </w:r>
    </w:p>
    <w:p w:rsidR="00340EBB" w:rsidRPr="009D150E" w:rsidRDefault="009D150E" w:rsidP="009D150E">
      <w:pPr>
        <w:tabs>
          <w:tab w:val="left" w:pos="2880"/>
        </w:tabs>
        <w:ind w:left="1080"/>
        <w:rPr>
          <w:rFonts w:ascii="Palatino Linotype" w:hAnsi="Palatino Linotype" w:cs="Garamond"/>
          <w:bCs/>
          <w:szCs w:val="20"/>
        </w:rPr>
      </w:pPr>
      <w:r>
        <w:rPr>
          <w:rFonts w:ascii="Palatino Linotype" w:hAnsi="Palatino Linotype" w:cs="Garamond"/>
          <w:bCs/>
          <w:szCs w:val="20"/>
        </w:rPr>
        <w:t xml:space="preserve">    </w:t>
      </w:r>
      <w:r>
        <w:rPr>
          <w:rFonts w:ascii="Palatino Linotype" w:hAnsi="Palatino Linotype" w:cs="Garamond"/>
          <w:bCs/>
          <w:szCs w:val="20"/>
        </w:rPr>
        <w:tab/>
      </w:r>
      <w:r w:rsidR="00340EBB" w:rsidRPr="009D150E">
        <w:rPr>
          <w:rFonts w:ascii="Palatino Linotype" w:hAnsi="Palatino Linotype" w:cs="Garamond"/>
          <w:bCs/>
          <w:szCs w:val="20"/>
        </w:rPr>
        <w:t>Yet I love thee.</w:t>
      </w:r>
    </w:p>
    <w:p w:rsidR="00340EBB" w:rsidRPr="00991819" w:rsidRDefault="00340EBB" w:rsidP="009D150E">
      <w:pPr>
        <w:ind w:left="1080"/>
        <w:rPr>
          <w:rFonts w:ascii="Palatino Linotype" w:hAnsi="Palatino Linotype" w:cs="Garamond"/>
          <w:szCs w:val="20"/>
        </w:rPr>
      </w:pPr>
    </w:p>
    <w:p w:rsidR="00340EBB" w:rsidRPr="00991819" w:rsidRDefault="00340EBB" w:rsidP="009D150E">
      <w:pPr>
        <w:ind w:left="1080"/>
        <w:rPr>
          <w:rFonts w:ascii="Palatino Linotype" w:hAnsi="Palatino Linotype" w:cs="Garamond"/>
          <w:szCs w:val="20"/>
        </w:rPr>
      </w:pPr>
      <w:r w:rsidRPr="00991819">
        <w:rPr>
          <w:rFonts w:ascii="Palatino Linotype" w:hAnsi="Palatino Linotype" w:cs="Garamond"/>
          <w:szCs w:val="20"/>
        </w:rPr>
        <w:t>I know all these, and have them in my hand:</w:t>
      </w:r>
    </w:p>
    <w:p w:rsidR="00340EBB" w:rsidRPr="00991819" w:rsidRDefault="00340EBB" w:rsidP="009D150E">
      <w:pPr>
        <w:ind w:left="1080"/>
        <w:rPr>
          <w:rFonts w:ascii="Palatino Linotype" w:hAnsi="Palatino Linotype" w:cs="Garamond"/>
          <w:szCs w:val="20"/>
        </w:rPr>
      </w:pPr>
      <w:r w:rsidRPr="00991819">
        <w:rPr>
          <w:rFonts w:ascii="Palatino Linotype" w:hAnsi="Palatino Linotype" w:cs="Garamond"/>
          <w:szCs w:val="20"/>
        </w:rPr>
        <w:t>Therefore not sealed, but with open eyes</w:t>
      </w:r>
    </w:p>
    <w:p w:rsidR="00340EBB" w:rsidRPr="00991819" w:rsidRDefault="00340EBB" w:rsidP="009D150E">
      <w:pPr>
        <w:ind w:left="1080"/>
        <w:rPr>
          <w:rFonts w:ascii="Palatino Linotype" w:hAnsi="Palatino Linotype" w:cs="Garamond"/>
          <w:szCs w:val="20"/>
        </w:rPr>
      </w:pPr>
      <w:r w:rsidRPr="00991819">
        <w:rPr>
          <w:rFonts w:ascii="Palatino Linotype" w:hAnsi="Palatino Linotype" w:cs="Garamond"/>
          <w:szCs w:val="20"/>
        </w:rPr>
        <w:t>I fl</w:t>
      </w:r>
      <w:r w:rsidR="001A78A0">
        <w:rPr>
          <w:rFonts w:ascii="Palatino Linotype" w:hAnsi="Palatino Linotype" w:cs="Garamond"/>
          <w:szCs w:val="20"/>
        </w:rPr>
        <w:t>ie</w:t>
      </w:r>
      <w:r w:rsidRPr="00991819">
        <w:rPr>
          <w:rFonts w:ascii="Palatino Linotype" w:hAnsi="Palatino Linotype" w:cs="Garamond"/>
          <w:szCs w:val="20"/>
        </w:rPr>
        <w:t xml:space="preserve"> to thee, and fully understand</w:t>
      </w:r>
    </w:p>
    <w:p w:rsidR="00340EBB" w:rsidRPr="00991819" w:rsidRDefault="00340EBB" w:rsidP="009D150E">
      <w:pPr>
        <w:ind w:left="1080"/>
        <w:rPr>
          <w:rFonts w:ascii="Palatino Linotype" w:hAnsi="Palatino Linotype" w:cs="Garamond"/>
          <w:szCs w:val="20"/>
        </w:rPr>
      </w:pPr>
      <w:r w:rsidRPr="00991819">
        <w:rPr>
          <w:rFonts w:ascii="Palatino Linotype" w:hAnsi="Palatino Linotype" w:cs="Garamond"/>
          <w:szCs w:val="20"/>
        </w:rPr>
        <w:t>Both the main sale, and the commodities;</w:t>
      </w:r>
    </w:p>
    <w:p w:rsidR="00340EBB" w:rsidRPr="00991819" w:rsidRDefault="00340EBB" w:rsidP="009D150E">
      <w:pPr>
        <w:ind w:left="1080"/>
        <w:rPr>
          <w:rFonts w:ascii="Palatino Linotype" w:hAnsi="Palatino Linotype" w:cs="Garamond"/>
          <w:szCs w:val="20"/>
        </w:rPr>
      </w:pPr>
      <w:r w:rsidRPr="00991819">
        <w:rPr>
          <w:rFonts w:ascii="Palatino Linotype" w:hAnsi="Palatino Linotype" w:cs="Garamond"/>
          <w:szCs w:val="20"/>
        </w:rPr>
        <w:t>And at what rate and price I have thy love;</w:t>
      </w:r>
    </w:p>
    <w:p w:rsidR="00340EBB" w:rsidRPr="00991819" w:rsidRDefault="00340EBB" w:rsidP="009D150E">
      <w:pPr>
        <w:ind w:left="1080"/>
        <w:rPr>
          <w:rFonts w:ascii="Palatino Linotype" w:hAnsi="Palatino Linotype" w:cs="Garamond"/>
          <w:szCs w:val="20"/>
        </w:rPr>
      </w:pPr>
      <w:r w:rsidRPr="00991819">
        <w:rPr>
          <w:rFonts w:ascii="Palatino Linotype" w:hAnsi="Palatino Linotype" w:cs="Garamond"/>
          <w:szCs w:val="20"/>
        </w:rPr>
        <w:t>With all the circumstances that may move:</w:t>
      </w:r>
    </w:p>
    <w:p w:rsidR="00340EBB" w:rsidRPr="00991819" w:rsidRDefault="001A78A0" w:rsidP="009D150E">
      <w:pPr>
        <w:ind w:left="1080"/>
        <w:rPr>
          <w:rFonts w:ascii="Palatino Linotype" w:hAnsi="Palatino Linotype" w:cs="Garamond"/>
          <w:szCs w:val="20"/>
        </w:rPr>
      </w:pPr>
      <w:r>
        <w:rPr>
          <w:rFonts w:ascii="Palatino Linotype" w:hAnsi="Palatino Linotype" w:cs="Garamond"/>
          <w:szCs w:val="20"/>
        </w:rPr>
        <w:t>Yet through the labyrinths, not my grovel</w:t>
      </w:r>
      <w:r w:rsidR="00340EBB" w:rsidRPr="00991819">
        <w:rPr>
          <w:rFonts w:ascii="Palatino Linotype" w:hAnsi="Palatino Linotype" w:cs="Garamond"/>
          <w:szCs w:val="20"/>
        </w:rPr>
        <w:t>ing wit,</w:t>
      </w:r>
    </w:p>
    <w:p w:rsidR="00340EBB" w:rsidRPr="00991819" w:rsidRDefault="00340EBB" w:rsidP="009D150E">
      <w:pPr>
        <w:ind w:left="1080"/>
        <w:rPr>
          <w:rFonts w:ascii="Palatino Linotype" w:hAnsi="Palatino Linotype" w:cs="Garamond"/>
          <w:szCs w:val="20"/>
        </w:rPr>
      </w:pPr>
      <w:r w:rsidRPr="00991819">
        <w:rPr>
          <w:rFonts w:ascii="Palatino Linotype" w:hAnsi="Palatino Linotype" w:cs="Garamond"/>
          <w:szCs w:val="20"/>
        </w:rPr>
        <w:t>But thy silk tw</w:t>
      </w:r>
      <w:r w:rsidR="001A78A0">
        <w:rPr>
          <w:rFonts w:ascii="Palatino Linotype" w:hAnsi="Palatino Linotype" w:cs="Garamond"/>
          <w:szCs w:val="20"/>
        </w:rPr>
        <w:t>ist let down from heav’n to me,</w:t>
      </w:r>
    </w:p>
    <w:p w:rsidR="00340EBB" w:rsidRPr="00991819" w:rsidRDefault="00340EBB" w:rsidP="009D150E">
      <w:pPr>
        <w:ind w:left="1080"/>
        <w:rPr>
          <w:rFonts w:ascii="Palatino Linotype" w:hAnsi="Palatino Linotype" w:cs="Garamond"/>
          <w:szCs w:val="20"/>
        </w:rPr>
      </w:pPr>
      <w:r w:rsidRPr="00991819">
        <w:rPr>
          <w:rFonts w:ascii="Palatino Linotype" w:hAnsi="Palatino Linotype" w:cs="Garamond"/>
          <w:szCs w:val="20"/>
        </w:rPr>
        <w:t>Did both conduct and teach me, how by it</w:t>
      </w:r>
    </w:p>
    <w:p w:rsidR="00340EBB" w:rsidRPr="00991819" w:rsidRDefault="00122E1C" w:rsidP="00122E1C">
      <w:pPr>
        <w:tabs>
          <w:tab w:val="left" w:pos="2880"/>
        </w:tabs>
        <w:ind w:left="1080"/>
        <w:rPr>
          <w:rFonts w:ascii="Palatino Linotype" w:hAnsi="Palatino Linotype" w:cs="Garamond"/>
          <w:szCs w:val="20"/>
        </w:rPr>
      </w:pPr>
      <w:r>
        <w:rPr>
          <w:rFonts w:ascii="Palatino Linotype" w:hAnsi="Palatino Linotype" w:cs="Garamond"/>
          <w:szCs w:val="20"/>
        </w:rPr>
        <w:tab/>
      </w:r>
      <w:r w:rsidR="00340EBB" w:rsidRPr="00991819">
        <w:rPr>
          <w:rFonts w:ascii="Palatino Linotype" w:hAnsi="Palatino Linotype" w:cs="Garamond"/>
          <w:szCs w:val="20"/>
        </w:rPr>
        <w:t>To climb to thee</w:t>
      </w:r>
      <w:r w:rsidR="00A33629">
        <w:rPr>
          <w:rFonts w:ascii="Palatino Linotype" w:hAnsi="Palatino Linotype" w:cs="Garamond"/>
          <w:szCs w:val="20"/>
        </w:rPr>
        <w:t xml:space="preserve">. </w:t>
      </w:r>
    </w:p>
    <w:p w:rsidR="00991819" w:rsidRDefault="00340EBB" w:rsidP="00340EBB">
      <w:pPr>
        <w:rPr>
          <w:rFonts w:ascii="Palatino Linotype" w:hAnsi="Palatino Linotype" w:cs="Garamond"/>
          <w:szCs w:val="20"/>
        </w:rPr>
      </w:pPr>
      <w:r w:rsidRPr="00991819">
        <w:rPr>
          <w:rFonts w:ascii="Palatino Linotype" w:hAnsi="Palatino Linotype" w:cs="Garamond"/>
          <w:szCs w:val="20"/>
        </w:rPr>
        <w:tab/>
      </w:r>
      <w:r w:rsidRPr="00991819">
        <w:rPr>
          <w:rFonts w:ascii="Palatino Linotype" w:hAnsi="Palatino Linotype" w:cs="Garamond"/>
          <w:szCs w:val="20"/>
        </w:rPr>
        <w:tab/>
      </w:r>
      <w:r w:rsidRPr="00991819">
        <w:rPr>
          <w:rFonts w:ascii="Palatino Linotype" w:hAnsi="Palatino Linotype" w:cs="Garamond"/>
          <w:szCs w:val="20"/>
        </w:rPr>
        <w:tab/>
      </w:r>
      <w:r w:rsidRPr="00991819">
        <w:rPr>
          <w:rFonts w:ascii="Palatino Linotype" w:hAnsi="Palatino Linotype" w:cs="Garamond"/>
          <w:szCs w:val="20"/>
        </w:rPr>
        <w:tab/>
      </w:r>
      <w:r w:rsidRPr="00991819">
        <w:rPr>
          <w:rFonts w:ascii="Palatino Linotype" w:hAnsi="Palatino Linotype" w:cs="Garamond"/>
          <w:szCs w:val="20"/>
        </w:rPr>
        <w:tab/>
      </w:r>
    </w:p>
    <w:p w:rsidR="00340EBB" w:rsidRPr="00533CDC" w:rsidRDefault="00340EBB" w:rsidP="00A33629">
      <w:pPr>
        <w:rPr>
          <w:rFonts w:ascii="Palatino Linotype" w:hAnsi="Palatino Linotype" w:cs="Garamond"/>
          <w:szCs w:val="20"/>
        </w:rPr>
      </w:pPr>
      <w:r w:rsidRPr="00991819">
        <w:rPr>
          <w:rFonts w:ascii="Palatino Linotype" w:hAnsi="Palatino Linotype" w:cs="Garamond"/>
          <w:szCs w:val="20"/>
        </w:rPr>
        <w:t>Geor</w:t>
      </w:r>
      <w:r w:rsidR="00991819">
        <w:rPr>
          <w:rFonts w:ascii="Palatino Linotype" w:hAnsi="Palatino Linotype" w:cs="Garamond"/>
          <w:szCs w:val="20"/>
        </w:rPr>
        <w:t xml:space="preserve">ge </w:t>
      </w:r>
      <w:r w:rsidR="009D150E">
        <w:rPr>
          <w:rFonts w:ascii="Palatino Linotype" w:hAnsi="Palatino Linotype" w:cs="Garamond"/>
          <w:szCs w:val="20"/>
        </w:rPr>
        <w:t xml:space="preserve">Herbert. </w:t>
      </w:r>
      <w:r w:rsidR="00B976B8">
        <w:rPr>
          <w:rFonts w:ascii="Palatino Linotype" w:hAnsi="Palatino Linotype" w:cs="Garamond"/>
          <w:i/>
          <w:szCs w:val="20"/>
        </w:rPr>
        <w:t xml:space="preserve">The Temple, </w:t>
      </w:r>
      <w:r w:rsidR="00B976B8">
        <w:rPr>
          <w:rFonts w:ascii="Palatino Linotype" w:hAnsi="Palatino Linotype" w:cs="Garamond"/>
          <w:szCs w:val="20"/>
        </w:rPr>
        <w:t>p</w:t>
      </w:r>
      <w:r w:rsidR="009D150E">
        <w:rPr>
          <w:rFonts w:ascii="Palatino Linotype" w:hAnsi="Palatino Linotype" w:cs="Garamond"/>
          <w:szCs w:val="20"/>
        </w:rPr>
        <w:t>ublic domain ed</w:t>
      </w:r>
      <w:r w:rsidR="00B976B8">
        <w:rPr>
          <w:rFonts w:ascii="Palatino Linotype" w:hAnsi="Palatino Linotype" w:cs="Garamond"/>
          <w:szCs w:val="20"/>
        </w:rPr>
        <w:t>.</w:t>
      </w:r>
      <w:r w:rsidR="009D150E">
        <w:rPr>
          <w:rFonts w:ascii="Palatino Linotype" w:hAnsi="Palatino Linotype" w:cs="Garamond"/>
          <w:szCs w:val="20"/>
        </w:rPr>
        <w:t>, 1876 facsimile of 1633 original</w:t>
      </w:r>
      <w:r w:rsidRPr="00991819">
        <w:rPr>
          <w:rFonts w:ascii="Palatino Linotype" w:hAnsi="Palatino Linotype" w:cs="Garamond"/>
          <w:szCs w:val="20"/>
        </w:rPr>
        <w:t>.</w:t>
      </w:r>
      <w:r w:rsidR="009D150E">
        <w:rPr>
          <w:rFonts w:ascii="Palatino Linotype" w:hAnsi="Palatino Linotype" w:cs="Garamond"/>
          <w:szCs w:val="20"/>
        </w:rPr>
        <w:t xml:space="preserve"> I have modernized the typography but kept the original spelling.</w:t>
      </w:r>
      <w:r w:rsidR="00533CDC">
        <w:rPr>
          <w:rFonts w:ascii="Palatino Linotype" w:hAnsi="Palatino Linotype" w:cs="Garamond"/>
          <w:szCs w:val="20"/>
        </w:rPr>
        <w:t xml:space="preserve"> </w:t>
      </w:r>
      <w:hyperlink r:id="rId6" w:history="1">
        <w:r w:rsidR="00533CDC" w:rsidRPr="00533CDC">
          <w:rPr>
            <w:rStyle w:val="Hyperlink"/>
            <w:rFonts w:ascii="Palatino Linotype" w:hAnsi="Palatino Linotype" w:cs="Garamond"/>
            <w:szCs w:val="20"/>
          </w:rPr>
          <w:t>Link</w:t>
        </w:r>
      </w:hyperlink>
      <w:r w:rsidR="00533CDC">
        <w:rPr>
          <w:rFonts w:ascii="Palatino Linotype" w:hAnsi="Palatino Linotype" w:cs="Garamond"/>
          <w:szCs w:val="20"/>
        </w:rPr>
        <w:t xml:space="preserve">. </w:t>
      </w:r>
    </w:p>
    <w:p w:rsidR="00340EBB" w:rsidRPr="00991819" w:rsidRDefault="00340EBB" w:rsidP="00340EBB">
      <w:pPr>
        <w:rPr>
          <w:rFonts w:ascii="Palatino Linotype" w:hAnsi="Palatino Linotype" w:cs="Garamond"/>
          <w:szCs w:val="20"/>
        </w:rPr>
      </w:pPr>
    </w:p>
    <w:p w:rsidR="009D150E" w:rsidRDefault="00340EBB" w:rsidP="00340EBB">
      <w:pPr>
        <w:jc w:val="both"/>
        <w:rPr>
          <w:rFonts w:ascii="Palatino Linotype" w:hAnsi="Palatino Linotype" w:cs="Garamond"/>
          <w:bCs/>
          <w:szCs w:val="20"/>
        </w:rPr>
      </w:pPr>
      <w:r w:rsidRPr="00991819">
        <w:rPr>
          <w:rFonts w:ascii="Palatino Linotype" w:hAnsi="Palatino Linotype" w:cs="Garamond"/>
          <w:bCs/>
          <w:szCs w:val="20"/>
        </w:rPr>
        <w:t xml:space="preserve">Here is the relevant </w:t>
      </w:r>
      <w:r w:rsidR="00A33629">
        <w:rPr>
          <w:rFonts w:ascii="Palatino Linotype" w:hAnsi="Palatino Linotype" w:cs="Garamond"/>
          <w:bCs/>
          <w:szCs w:val="20"/>
        </w:rPr>
        <w:t xml:space="preserve">section </w:t>
      </w:r>
      <w:r w:rsidRPr="00991819">
        <w:rPr>
          <w:rFonts w:ascii="Palatino Linotype" w:hAnsi="Palatino Linotype" w:cs="Garamond"/>
          <w:bCs/>
          <w:szCs w:val="20"/>
        </w:rPr>
        <w:t xml:space="preserve">from </w:t>
      </w:r>
      <w:r w:rsidR="009D150E">
        <w:rPr>
          <w:rFonts w:ascii="Palatino Linotype" w:hAnsi="Palatino Linotype" w:cs="Garamond"/>
          <w:bCs/>
          <w:i/>
          <w:szCs w:val="20"/>
        </w:rPr>
        <w:t xml:space="preserve">The Gospel according to Saint </w:t>
      </w:r>
      <w:r w:rsidRPr="009D150E">
        <w:rPr>
          <w:rFonts w:ascii="Palatino Linotype" w:hAnsi="Palatino Linotype" w:cs="Garamond"/>
          <w:bCs/>
          <w:i/>
          <w:szCs w:val="20"/>
        </w:rPr>
        <w:t>Matthew</w:t>
      </w:r>
      <w:r w:rsidR="00700C0F">
        <w:rPr>
          <w:rFonts w:ascii="Palatino Linotype" w:hAnsi="Palatino Linotype" w:cs="Garamond"/>
          <w:bCs/>
          <w:szCs w:val="20"/>
        </w:rPr>
        <w:t xml:space="preserve"> 13:45-50</w:t>
      </w:r>
      <w:r w:rsidR="009D150E">
        <w:rPr>
          <w:rFonts w:ascii="Palatino Linotype" w:hAnsi="Palatino Linotype" w:cs="Garamond"/>
          <w:bCs/>
          <w:szCs w:val="20"/>
        </w:rPr>
        <w:t>, KJV</w:t>
      </w:r>
      <w:r w:rsidR="00700C0F">
        <w:rPr>
          <w:rFonts w:ascii="Palatino Linotype" w:hAnsi="Palatino Linotype" w:cs="Garamond"/>
          <w:bCs/>
          <w:szCs w:val="20"/>
        </w:rPr>
        <w:t xml:space="preserve">: </w:t>
      </w:r>
    </w:p>
    <w:p w:rsidR="009D150E" w:rsidRDefault="009D150E" w:rsidP="00340EBB">
      <w:pPr>
        <w:jc w:val="both"/>
        <w:rPr>
          <w:rFonts w:ascii="Palatino Linotype" w:hAnsi="Palatino Linotype" w:cs="Garamond"/>
          <w:bCs/>
          <w:szCs w:val="20"/>
        </w:rPr>
      </w:pPr>
    </w:p>
    <w:p w:rsidR="00340EBB" w:rsidRPr="00991819" w:rsidRDefault="00340EBB" w:rsidP="00A33629">
      <w:pPr>
        <w:ind w:left="1080" w:right="1440"/>
        <w:jc w:val="both"/>
        <w:rPr>
          <w:rFonts w:ascii="Palatino Linotype" w:hAnsi="Palatino Linotype" w:cs="Garamond"/>
          <w:bCs/>
          <w:szCs w:val="20"/>
        </w:rPr>
      </w:pPr>
      <w:r w:rsidRPr="00991819">
        <w:rPr>
          <w:rFonts w:ascii="Palatino Linotype" w:hAnsi="Palatino Linotype" w:cs="Garamond"/>
          <w:bCs/>
          <w:szCs w:val="20"/>
        </w:rPr>
        <w:t>Again, the kingdom of heaven is like unto a merchant man, seeking goodly pearls:  Who, when he found one pearl of great price, went and sold all that he had, and bought it</w:t>
      </w:r>
      <w:r w:rsidR="00A33629">
        <w:rPr>
          <w:rFonts w:ascii="Palatino Linotype" w:hAnsi="Palatino Linotype" w:cs="Garamond"/>
          <w:bCs/>
          <w:szCs w:val="20"/>
        </w:rPr>
        <w:t xml:space="preserve">. </w:t>
      </w:r>
      <w:r w:rsidRPr="00991819">
        <w:rPr>
          <w:rFonts w:ascii="Palatino Linotype" w:hAnsi="Palatino Linotype" w:cs="Garamond"/>
          <w:bCs/>
          <w:szCs w:val="20"/>
        </w:rPr>
        <w:t>Again, the kingdom of heaven is like unto a net, that was cast into the sea, and gathered of every kind:  Which, when it was full, they drew to shore, and sat down, and gathered the good into vessels, but cast the bad away</w:t>
      </w:r>
      <w:r w:rsidR="00A33629">
        <w:rPr>
          <w:rFonts w:ascii="Palatino Linotype" w:hAnsi="Palatino Linotype" w:cs="Garamond"/>
          <w:bCs/>
          <w:szCs w:val="20"/>
        </w:rPr>
        <w:t xml:space="preserve">. </w:t>
      </w:r>
      <w:r w:rsidRPr="00991819">
        <w:rPr>
          <w:rFonts w:ascii="Palatino Linotype" w:hAnsi="Palatino Linotype" w:cs="Garamond"/>
          <w:bCs/>
          <w:szCs w:val="20"/>
        </w:rPr>
        <w:t>So shall it be at the end of the world:  the angels shall come forth, and sever the wicked from among the just, And shall cast them into the furnace of fire:  there shall be wailing</w:t>
      </w:r>
      <w:r w:rsidR="009D150E">
        <w:rPr>
          <w:rFonts w:ascii="Palatino Linotype" w:hAnsi="Palatino Linotype" w:cs="Garamond"/>
          <w:bCs/>
          <w:szCs w:val="20"/>
        </w:rPr>
        <w:t xml:space="preserve"> and gnashing of teeth.</w:t>
      </w:r>
    </w:p>
    <w:p w:rsidR="00991819" w:rsidRDefault="00991819" w:rsidP="00340EBB">
      <w:pPr>
        <w:jc w:val="both"/>
        <w:rPr>
          <w:rFonts w:ascii="Palatino Linotype" w:hAnsi="Palatino Linotype" w:cs="Garamond"/>
          <w:b/>
          <w:bCs/>
          <w:szCs w:val="20"/>
        </w:rPr>
      </w:pPr>
    </w:p>
    <w:p w:rsidR="00A33629" w:rsidRDefault="00A33629" w:rsidP="00340EBB">
      <w:pPr>
        <w:jc w:val="both"/>
        <w:rPr>
          <w:rFonts w:ascii="Palatino Linotype" w:hAnsi="Palatino Linotype" w:cs="Garamond"/>
          <w:b/>
          <w:bCs/>
          <w:szCs w:val="20"/>
        </w:rPr>
      </w:pPr>
    </w:p>
    <w:p w:rsidR="00A33629" w:rsidRDefault="00A33629" w:rsidP="00340EBB">
      <w:pPr>
        <w:jc w:val="both"/>
        <w:rPr>
          <w:rFonts w:ascii="Palatino Linotype" w:hAnsi="Palatino Linotype" w:cs="Garamond"/>
          <w:b/>
          <w:bCs/>
          <w:szCs w:val="20"/>
        </w:rPr>
      </w:pPr>
    </w:p>
    <w:p w:rsidR="00550FF5" w:rsidRDefault="00550FF5" w:rsidP="00340EBB">
      <w:pPr>
        <w:jc w:val="both"/>
        <w:rPr>
          <w:rFonts w:ascii="Palatino Linotype" w:hAnsi="Palatino Linotype" w:cs="Garamond"/>
          <w:bCs/>
          <w:szCs w:val="20"/>
        </w:rPr>
      </w:pPr>
    </w:p>
    <w:p w:rsidR="00550FF5" w:rsidRPr="00550FF5" w:rsidRDefault="00A33629" w:rsidP="00340EBB">
      <w:pPr>
        <w:jc w:val="both"/>
        <w:rPr>
          <w:rFonts w:ascii="Palatino Linotype" w:hAnsi="Palatino Linotype" w:cs="Garamond"/>
          <w:b/>
          <w:bCs/>
          <w:sz w:val="28"/>
          <w:szCs w:val="20"/>
        </w:rPr>
      </w:pPr>
      <w:r w:rsidRPr="00550FF5">
        <w:rPr>
          <w:rFonts w:ascii="Palatino Linotype" w:hAnsi="Palatino Linotype" w:cs="Garamond"/>
          <w:b/>
          <w:bCs/>
          <w:sz w:val="28"/>
          <w:szCs w:val="20"/>
        </w:rPr>
        <w:t xml:space="preserve">Sir Thomas </w:t>
      </w:r>
      <w:r w:rsidR="00550FF5" w:rsidRPr="00550FF5">
        <w:rPr>
          <w:rFonts w:ascii="Palatino Linotype" w:hAnsi="Palatino Linotype" w:cs="Garamond"/>
          <w:b/>
          <w:bCs/>
          <w:sz w:val="28"/>
          <w:szCs w:val="20"/>
        </w:rPr>
        <w:t>Wyatt’s “Whoso List to Hunt</w:t>
      </w:r>
      <w:r w:rsidR="00340EBB" w:rsidRPr="00550FF5">
        <w:rPr>
          <w:rFonts w:ascii="Palatino Linotype" w:hAnsi="Palatino Linotype" w:cs="Garamond"/>
          <w:b/>
          <w:bCs/>
          <w:sz w:val="28"/>
          <w:szCs w:val="20"/>
        </w:rPr>
        <w:t xml:space="preserve">” </w:t>
      </w:r>
    </w:p>
    <w:p w:rsidR="00550FF5" w:rsidRDefault="00550FF5" w:rsidP="00340EBB">
      <w:pPr>
        <w:jc w:val="both"/>
        <w:rPr>
          <w:rFonts w:ascii="Palatino Linotype" w:hAnsi="Palatino Linotype" w:cs="Garamond"/>
          <w:bCs/>
          <w:szCs w:val="20"/>
        </w:rPr>
      </w:pPr>
    </w:p>
    <w:p w:rsidR="00550FF5" w:rsidRDefault="00550FF5" w:rsidP="00340EBB">
      <w:pPr>
        <w:jc w:val="both"/>
        <w:rPr>
          <w:rFonts w:ascii="Palatino Linotype" w:hAnsi="Palatino Linotype" w:cs="Garamond"/>
          <w:bCs/>
          <w:szCs w:val="20"/>
        </w:rPr>
      </w:pPr>
      <w:r>
        <w:rPr>
          <w:rFonts w:ascii="Palatino Linotype" w:hAnsi="Palatino Linotype" w:cs="Garamond"/>
          <w:bCs/>
          <w:szCs w:val="20"/>
        </w:rPr>
        <w:t>R</w:t>
      </w:r>
      <w:r w:rsidR="00340EBB" w:rsidRPr="003604A0">
        <w:rPr>
          <w:rFonts w:ascii="Palatino Linotype" w:hAnsi="Palatino Linotype" w:cs="Garamond"/>
          <w:bCs/>
          <w:szCs w:val="20"/>
        </w:rPr>
        <w:t xml:space="preserve">efer to </w:t>
      </w:r>
      <w:r w:rsidR="00A33629">
        <w:rPr>
          <w:rFonts w:ascii="Palatino Linotype" w:hAnsi="Palatino Linotype" w:cs="Garamond"/>
          <w:bCs/>
          <w:i/>
          <w:szCs w:val="20"/>
        </w:rPr>
        <w:t xml:space="preserve">The Gospel according to Saint </w:t>
      </w:r>
      <w:r w:rsidR="00340EBB" w:rsidRPr="00A33629">
        <w:rPr>
          <w:rFonts w:ascii="Palatino Linotype" w:hAnsi="Palatino Linotype" w:cs="Garamond"/>
          <w:bCs/>
          <w:i/>
          <w:szCs w:val="20"/>
        </w:rPr>
        <w:t>John</w:t>
      </w:r>
      <w:r w:rsidR="00340EBB" w:rsidRPr="003604A0">
        <w:rPr>
          <w:rFonts w:ascii="Palatino Linotype" w:hAnsi="Palatino Linotype" w:cs="Garamond"/>
          <w:bCs/>
          <w:szCs w:val="20"/>
        </w:rPr>
        <w:t xml:space="preserve"> 20:15-17</w:t>
      </w:r>
      <w:r w:rsidR="001F637E">
        <w:rPr>
          <w:rFonts w:ascii="Palatino Linotype" w:hAnsi="Palatino Linotype" w:cs="Garamond"/>
          <w:bCs/>
          <w:szCs w:val="20"/>
        </w:rPr>
        <w:t>, KJV</w:t>
      </w:r>
      <w:r w:rsidR="00340EBB" w:rsidRPr="003604A0">
        <w:rPr>
          <w:rFonts w:ascii="Palatino Linotype" w:hAnsi="Palatino Linotype" w:cs="Garamond"/>
          <w:bCs/>
          <w:szCs w:val="20"/>
        </w:rPr>
        <w:t xml:space="preserve">:  </w:t>
      </w:r>
    </w:p>
    <w:p w:rsidR="00550FF5" w:rsidRDefault="00550FF5" w:rsidP="00340EBB">
      <w:pPr>
        <w:jc w:val="both"/>
        <w:rPr>
          <w:rFonts w:ascii="Palatino Linotype" w:hAnsi="Palatino Linotype" w:cs="Garamond"/>
          <w:bCs/>
          <w:szCs w:val="20"/>
        </w:rPr>
      </w:pPr>
    </w:p>
    <w:p w:rsidR="00340EBB" w:rsidRPr="003604A0" w:rsidRDefault="00340EBB" w:rsidP="00DB154A">
      <w:pPr>
        <w:ind w:left="1080" w:right="1440"/>
        <w:jc w:val="both"/>
        <w:rPr>
          <w:rFonts w:ascii="Palatino Linotype" w:hAnsi="Palatino Linotype" w:cs="Garamond"/>
          <w:bCs/>
          <w:szCs w:val="20"/>
        </w:rPr>
      </w:pPr>
      <w:r w:rsidRPr="003604A0">
        <w:rPr>
          <w:rFonts w:ascii="Palatino Linotype" w:hAnsi="Palatino Linotype" w:cs="Garamond"/>
          <w:bCs/>
          <w:szCs w:val="20"/>
        </w:rPr>
        <w:t>Jesus saith unto her, Woman, why weepest thou?  whom seekest thou?  She, supposing him to be the  gardener, saith unto him, Sir, if thou have borne him hence, tell me where thou hast laid him, and I will take him away</w:t>
      </w:r>
      <w:r w:rsidR="00A33629">
        <w:rPr>
          <w:rFonts w:ascii="Palatino Linotype" w:hAnsi="Palatino Linotype" w:cs="Garamond"/>
          <w:bCs/>
          <w:szCs w:val="20"/>
        </w:rPr>
        <w:t xml:space="preserve">. </w:t>
      </w:r>
      <w:r w:rsidRPr="003604A0">
        <w:rPr>
          <w:rFonts w:ascii="Palatino Linotype" w:hAnsi="Palatino Linotype" w:cs="Garamond"/>
          <w:bCs/>
          <w:szCs w:val="20"/>
        </w:rPr>
        <w:t>Jesus saith unto her, Mary</w:t>
      </w:r>
      <w:r w:rsidR="00A33629">
        <w:rPr>
          <w:rFonts w:ascii="Palatino Linotype" w:hAnsi="Palatino Linotype" w:cs="Garamond"/>
          <w:bCs/>
          <w:szCs w:val="20"/>
        </w:rPr>
        <w:t xml:space="preserve">. </w:t>
      </w:r>
      <w:r w:rsidRPr="003604A0">
        <w:rPr>
          <w:rFonts w:ascii="Palatino Linotype" w:hAnsi="Palatino Linotype" w:cs="Garamond"/>
          <w:bCs/>
          <w:szCs w:val="20"/>
        </w:rPr>
        <w:t>She turned herself and saith unto him, Rabboni; which is to say, Master</w:t>
      </w:r>
      <w:r w:rsidR="00A33629">
        <w:rPr>
          <w:rFonts w:ascii="Palatino Linotype" w:hAnsi="Palatino Linotype" w:cs="Garamond"/>
          <w:bCs/>
          <w:szCs w:val="20"/>
        </w:rPr>
        <w:t xml:space="preserve">. </w:t>
      </w:r>
      <w:r w:rsidRPr="003604A0">
        <w:rPr>
          <w:rFonts w:ascii="Palatino Linotype" w:hAnsi="Palatino Linotype" w:cs="Garamond"/>
          <w:bCs/>
          <w:szCs w:val="20"/>
        </w:rPr>
        <w:t xml:space="preserve">Jesus saith unto her, Touch me not; for I am not yet ascended to my Father, and your Father; and to </w:t>
      </w:r>
      <w:r w:rsidR="001F637E">
        <w:rPr>
          <w:rFonts w:ascii="Palatino Linotype" w:hAnsi="Palatino Linotype" w:cs="Garamond"/>
          <w:bCs/>
          <w:szCs w:val="20"/>
        </w:rPr>
        <w:t xml:space="preserve">my God, and your God. </w:t>
      </w:r>
      <w:r w:rsidR="003604A0">
        <w:rPr>
          <w:rFonts w:ascii="Palatino Linotype" w:hAnsi="Palatino Linotype" w:cs="Garamond"/>
          <w:bCs/>
          <w:szCs w:val="20"/>
        </w:rPr>
        <w:t xml:space="preserve">[Note: </w:t>
      </w:r>
      <w:r w:rsidRPr="003604A0">
        <w:rPr>
          <w:rFonts w:ascii="Palatino Linotype" w:hAnsi="Palatino Linotype" w:cs="Garamond"/>
          <w:bCs/>
          <w:szCs w:val="20"/>
        </w:rPr>
        <w:t>the Vulgate Bible’s “touch me not” is “</w:t>
      </w:r>
      <w:r w:rsidRPr="003604A0">
        <w:rPr>
          <w:rFonts w:ascii="Palatino Linotype" w:hAnsi="Palatino Linotype" w:cs="Garamond"/>
          <w:bCs/>
          <w:szCs w:val="20"/>
          <w:u w:val="single"/>
        </w:rPr>
        <w:t>noli me tangere</w:t>
      </w:r>
      <w:r w:rsidRPr="003604A0">
        <w:rPr>
          <w:rFonts w:ascii="Palatino Linotype" w:hAnsi="Palatino Linotype" w:cs="Garamond"/>
          <w:bCs/>
          <w:szCs w:val="20"/>
        </w:rPr>
        <w:t>.”]</w:t>
      </w:r>
    </w:p>
    <w:p w:rsidR="00340EBB" w:rsidRPr="00991819" w:rsidRDefault="00340EBB" w:rsidP="00340EBB">
      <w:pPr>
        <w:rPr>
          <w:rFonts w:ascii="Palatino Linotype" w:hAnsi="Palatino Linotype" w:cs="Garamond"/>
          <w:b/>
          <w:bCs/>
          <w:szCs w:val="20"/>
        </w:rPr>
      </w:pPr>
    </w:p>
    <w:p w:rsidR="00340EBB" w:rsidRPr="00DB154A" w:rsidRDefault="00340EBB" w:rsidP="00340EBB">
      <w:pPr>
        <w:rPr>
          <w:rFonts w:ascii="Palatino Linotype" w:hAnsi="Palatino Linotype" w:cs="Garamond"/>
          <w:b/>
          <w:szCs w:val="20"/>
        </w:rPr>
      </w:pPr>
      <w:r w:rsidRPr="00DB154A">
        <w:rPr>
          <w:rFonts w:ascii="Palatino Linotype" w:hAnsi="Palatino Linotype" w:cs="Garamond"/>
          <w:b/>
          <w:szCs w:val="20"/>
        </w:rPr>
        <w:t xml:space="preserve">Petrarch’s </w:t>
      </w:r>
      <w:r w:rsidR="00844C2D" w:rsidRPr="00DB154A">
        <w:rPr>
          <w:rFonts w:ascii="Palatino Linotype" w:hAnsi="Palatino Linotype" w:cs="Garamond"/>
          <w:b/>
          <w:i/>
          <w:szCs w:val="20"/>
        </w:rPr>
        <w:t>Il Canzoniere</w:t>
      </w:r>
      <w:r w:rsidR="00844C2D" w:rsidRPr="00DB154A">
        <w:rPr>
          <w:rFonts w:ascii="Palatino Linotype" w:hAnsi="Palatino Linotype" w:cs="Garamond"/>
          <w:b/>
          <w:szCs w:val="20"/>
        </w:rPr>
        <w:t xml:space="preserve">, Sonnet 190. </w:t>
      </w:r>
      <w:r w:rsidRPr="00DB154A">
        <w:rPr>
          <w:rFonts w:ascii="Palatino Linotype" w:hAnsi="Palatino Linotype" w:cs="Garamond"/>
          <w:b/>
          <w:szCs w:val="20"/>
        </w:rPr>
        <w:t xml:space="preserve">“Una </w:t>
      </w:r>
      <w:r w:rsidR="00844C2D" w:rsidRPr="00DB154A">
        <w:rPr>
          <w:rFonts w:ascii="Palatino Linotype" w:hAnsi="Palatino Linotype" w:cs="Garamond"/>
          <w:b/>
          <w:szCs w:val="20"/>
        </w:rPr>
        <w:t>c</w:t>
      </w:r>
      <w:r w:rsidRPr="00DB154A">
        <w:rPr>
          <w:rFonts w:ascii="Palatino Linotype" w:hAnsi="Palatino Linotype" w:cs="Garamond"/>
          <w:b/>
          <w:szCs w:val="20"/>
        </w:rPr>
        <w:t xml:space="preserve">andida </w:t>
      </w:r>
      <w:r w:rsidR="00844C2D" w:rsidRPr="00DB154A">
        <w:rPr>
          <w:rFonts w:ascii="Palatino Linotype" w:hAnsi="Palatino Linotype" w:cs="Garamond"/>
          <w:b/>
          <w:szCs w:val="20"/>
        </w:rPr>
        <w:t>c</w:t>
      </w:r>
      <w:r w:rsidRPr="00DB154A">
        <w:rPr>
          <w:rFonts w:ascii="Palatino Linotype" w:hAnsi="Palatino Linotype" w:cs="Garamond"/>
          <w:b/>
          <w:szCs w:val="20"/>
        </w:rPr>
        <w:t>erva</w:t>
      </w:r>
      <w:r w:rsidR="003604A0" w:rsidRPr="00DB154A">
        <w:rPr>
          <w:rFonts w:ascii="Palatino Linotype" w:hAnsi="Palatino Linotype" w:cs="Garamond"/>
          <w:b/>
          <w:szCs w:val="20"/>
        </w:rPr>
        <w:t xml:space="preserve"> sopra l’erba</w:t>
      </w:r>
      <w:r w:rsidRPr="00DB154A">
        <w:rPr>
          <w:rFonts w:ascii="Palatino Linotype" w:hAnsi="Palatino Linotype" w:cs="Garamond"/>
          <w:b/>
          <w:szCs w:val="20"/>
        </w:rPr>
        <w:t>” (</w:t>
      </w:r>
      <w:r w:rsidR="003604A0" w:rsidRPr="00DB154A">
        <w:rPr>
          <w:rFonts w:ascii="Palatino Linotype" w:hAnsi="Palatino Linotype" w:cs="Garamond"/>
          <w:b/>
          <w:szCs w:val="20"/>
        </w:rPr>
        <w:t>“A white doe on the grass”</w:t>
      </w:r>
      <w:r w:rsidR="00DB154A">
        <w:rPr>
          <w:rFonts w:ascii="Palatino Linotype" w:hAnsi="Palatino Linotype" w:cs="Garamond"/>
          <w:b/>
          <w:szCs w:val="20"/>
        </w:rPr>
        <w:t>)</w:t>
      </w:r>
    </w:p>
    <w:p w:rsidR="00844C2D" w:rsidRDefault="00844C2D" w:rsidP="00844C2D">
      <w:pPr>
        <w:pStyle w:val="Heading3"/>
        <w:shd w:val="clear" w:color="auto" w:fill="FBFBF8"/>
        <w:spacing w:before="0" w:beforeAutospacing="0" w:after="0" w:afterAutospacing="0"/>
        <w:rPr>
          <w:rFonts w:ascii="Palatino Linotype" w:hAnsi="Palatino Linotype" w:cs="Garamond"/>
          <w:sz w:val="22"/>
          <w:szCs w:val="20"/>
        </w:rPr>
      </w:pPr>
    </w:p>
    <w:p w:rsidR="00991819" w:rsidRPr="00991819" w:rsidRDefault="00340EBB" w:rsidP="00844C2D">
      <w:pPr>
        <w:pStyle w:val="Heading3"/>
        <w:shd w:val="clear" w:color="auto" w:fill="FBFBF8"/>
        <w:spacing w:before="0" w:beforeAutospacing="0" w:after="0" w:afterAutospacing="0"/>
        <w:rPr>
          <w:rFonts w:ascii="Palatino Linotype" w:hAnsi="Palatino Linotype"/>
          <w:b w:val="0"/>
          <w:color w:val="212529"/>
          <w:sz w:val="22"/>
          <w:szCs w:val="24"/>
        </w:rPr>
      </w:pPr>
      <w:r w:rsidRPr="00991819">
        <w:rPr>
          <w:rFonts w:ascii="Palatino Linotype" w:hAnsi="Palatino Linotype" w:cs="Garamond"/>
          <w:sz w:val="22"/>
          <w:szCs w:val="20"/>
        </w:rPr>
        <w:tab/>
      </w:r>
      <w:r w:rsidR="00991819" w:rsidRPr="00991819">
        <w:rPr>
          <w:rFonts w:ascii="Palatino Linotype" w:hAnsi="Palatino Linotype"/>
          <w:b w:val="0"/>
          <w:color w:val="212529"/>
          <w:sz w:val="22"/>
          <w:szCs w:val="24"/>
        </w:rPr>
        <w:t>A pure white hind appeared to me</w:t>
      </w: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with two gold horns, on green grass,</w:t>
      </w: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between two streams, in a laurel’s shade,</w:t>
      </w:r>
    </w:p>
    <w:p w:rsid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at sunrise, in the unripe season.</w:t>
      </w:r>
    </w:p>
    <w:p w:rsidR="00DB154A" w:rsidRPr="00991819" w:rsidRDefault="00DB154A" w:rsidP="00991819">
      <w:pPr>
        <w:shd w:val="clear" w:color="auto" w:fill="FBFBF8"/>
        <w:autoSpaceDE/>
        <w:autoSpaceDN/>
        <w:ind w:firstLine="720"/>
        <w:jc w:val="both"/>
        <w:rPr>
          <w:rFonts w:ascii="Palatino Linotype" w:eastAsia="Times New Roman" w:hAnsi="Palatino Linotype" w:cs="Times New Roman"/>
          <w:color w:val="212529"/>
          <w:szCs w:val="24"/>
        </w:rPr>
      </w:pP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Her aspect was so sweet and proud</w:t>
      </w: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I left all my labour to follow her:</w:t>
      </w: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as a miser, in search of treasure,</w:t>
      </w: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makes his toil lose its bitterness in delight.</w:t>
      </w:r>
    </w:p>
    <w:p w:rsidR="00DB154A" w:rsidRDefault="00DB154A" w:rsidP="00991819">
      <w:pPr>
        <w:shd w:val="clear" w:color="auto" w:fill="FBFBF8"/>
        <w:autoSpaceDE/>
        <w:autoSpaceDN/>
        <w:ind w:firstLine="720"/>
        <w:jc w:val="both"/>
        <w:rPr>
          <w:rFonts w:ascii="Palatino Linotype" w:eastAsia="Times New Roman" w:hAnsi="Palatino Linotype" w:cs="Times New Roman"/>
          <w:color w:val="212529"/>
          <w:szCs w:val="24"/>
        </w:rPr>
      </w:pP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‘Touch me not,’ in diamonds and topaz,</w:t>
      </w: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was written round about her lovely neck:</w:t>
      </w: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‘it pleased my Lord to set me free.’</w:t>
      </w:r>
      <w:bookmarkStart w:id="0" w:name="_GoBack"/>
      <w:bookmarkEnd w:id="0"/>
    </w:p>
    <w:p w:rsidR="00DB154A" w:rsidRDefault="00DB154A" w:rsidP="00991819">
      <w:pPr>
        <w:shd w:val="clear" w:color="auto" w:fill="FBFBF8"/>
        <w:autoSpaceDE/>
        <w:autoSpaceDN/>
        <w:ind w:firstLine="720"/>
        <w:jc w:val="both"/>
        <w:rPr>
          <w:rFonts w:ascii="Palatino Linotype" w:eastAsia="Times New Roman" w:hAnsi="Palatino Linotype" w:cs="Times New Roman"/>
          <w:color w:val="212529"/>
          <w:szCs w:val="24"/>
        </w:rPr>
      </w:pP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The sun had already mounted to mid-day,</w:t>
      </w:r>
    </w:p>
    <w:p w:rsidR="00991819" w:rsidRP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my eyes were tired with gazing, but not sated,</w:t>
      </w:r>
    </w:p>
    <w:p w:rsidR="00991819" w:rsidRDefault="00991819" w:rsidP="00991819">
      <w:pPr>
        <w:shd w:val="clear" w:color="auto" w:fill="FBFBF8"/>
        <w:autoSpaceDE/>
        <w:autoSpaceDN/>
        <w:ind w:firstLine="720"/>
        <w:jc w:val="both"/>
        <w:rPr>
          <w:rFonts w:ascii="Palatino Linotype" w:eastAsia="Times New Roman" w:hAnsi="Palatino Linotype" w:cs="Times New Roman"/>
          <w:color w:val="212529"/>
          <w:szCs w:val="24"/>
        </w:rPr>
      </w:pPr>
      <w:r w:rsidRPr="00991819">
        <w:rPr>
          <w:rFonts w:ascii="Palatino Linotype" w:eastAsia="Times New Roman" w:hAnsi="Palatino Linotype" w:cs="Times New Roman"/>
          <w:color w:val="212529"/>
          <w:szCs w:val="24"/>
        </w:rPr>
        <w:t>when I fell into water, and she vanished.</w:t>
      </w:r>
    </w:p>
    <w:p w:rsidR="003604A0" w:rsidRPr="00991819" w:rsidRDefault="003604A0" w:rsidP="00991819">
      <w:pPr>
        <w:shd w:val="clear" w:color="auto" w:fill="FBFBF8"/>
        <w:autoSpaceDE/>
        <w:autoSpaceDN/>
        <w:ind w:firstLine="720"/>
        <w:jc w:val="both"/>
        <w:rPr>
          <w:rFonts w:ascii="Palatino Linotype" w:eastAsia="Times New Roman" w:hAnsi="Palatino Linotype" w:cs="Times New Roman"/>
          <w:color w:val="212529"/>
          <w:szCs w:val="24"/>
        </w:rPr>
      </w:pPr>
    </w:p>
    <w:p w:rsidR="00340EBB" w:rsidRPr="003604A0" w:rsidRDefault="00844C2D" w:rsidP="003604A0">
      <w:pPr>
        <w:ind w:firstLine="720"/>
        <w:rPr>
          <w:rFonts w:ascii="Palatino Linotype" w:hAnsi="Palatino Linotype"/>
          <w:color w:val="212529"/>
          <w:shd w:val="clear" w:color="auto" w:fill="FBFBF8"/>
        </w:rPr>
      </w:pPr>
      <w:r>
        <w:rPr>
          <w:rFonts w:ascii="Palatino Linotype" w:hAnsi="Palatino Linotype"/>
          <w:color w:val="212529"/>
          <w:shd w:val="clear" w:color="auto" w:fill="FBFBF8"/>
        </w:rPr>
        <w:t xml:space="preserve">Translation </w:t>
      </w:r>
      <w:r w:rsidR="003604A0" w:rsidRPr="003604A0">
        <w:rPr>
          <w:rFonts w:ascii="Palatino Linotype" w:hAnsi="Palatino Linotype"/>
          <w:color w:val="212529"/>
          <w:shd w:val="clear" w:color="auto" w:fill="FBFBF8"/>
        </w:rPr>
        <w:t>© </w:t>
      </w:r>
      <w:hyperlink r:id="rId7" w:history="1">
        <w:r w:rsidR="003604A0" w:rsidRPr="003604A0">
          <w:rPr>
            <w:rStyle w:val="Hyperlink"/>
            <w:rFonts w:ascii="Palatino Linotype" w:hAnsi="Palatino Linotype"/>
          </w:rPr>
          <w:t>Copyright</w:t>
        </w:r>
      </w:hyperlink>
      <w:r w:rsidR="003604A0" w:rsidRPr="003604A0">
        <w:rPr>
          <w:rFonts w:ascii="Palatino Linotype" w:hAnsi="Palatino Linotype"/>
          <w:color w:val="212529"/>
          <w:shd w:val="clear" w:color="auto" w:fill="FBFBF8"/>
        </w:rPr>
        <w:t xml:space="preserve"> </w:t>
      </w:r>
      <w:r w:rsidR="003604A0" w:rsidRPr="003604A0">
        <w:rPr>
          <w:rFonts w:ascii="Palatino Linotype" w:hAnsi="Palatino Linotype"/>
          <w:color w:val="212529"/>
          <w:shd w:val="clear" w:color="auto" w:fill="FBFBF8"/>
        </w:rPr>
        <w:t>2002 A. S. Kline, All Rights Reserved</w:t>
      </w:r>
    </w:p>
    <w:p w:rsidR="003604A0" w:rsidRDefault="003604A0" w:rsidP="003604A0">
      <w:pPr>
        <w:ind w:firstLine="720"/>
        <w:rPr>
          <w:rFonts w:ascii="Palatino Linotype" w:hAnsi="Palatino Linotype" w:cs="Garamond"/>
          <w:szCs w:val="20"/>
        </w:rPr>
      </w:pPr>
      <w:hyperlink r:id="rId8" w:history="1">
        <w:r w:rsidRPr="003604A0">
          <w:rPr>
            <w:rStyle w:val="Hyperlink"/>
            <w:rFonts w:ascii="Palatino Linotype" w:hAnsi="Palatino Linotype" w:cs="Garamond"/>
            <w:szCs w:val="20"/>
          </w:rPr>
          <w:t>https://www.poetryintranslation.com/Admin/Copyright.php</w:t>
        </w:r>
      </w:hyperlink>
      <w:r>
        <w:rPr>
          <w:rFonts w:ascii="Palatino Linotype" w:hAnsi="Palatino Linotype" w:cs="Garamond"/>
          <w:szCs w:val="20"/>
        </w:rPr>
        <w:t xml:space="preserve"> </w:t>
      </w:r>
    </w:p>
    <w:p w:rsidR="00E0295A" w:rsidRPr="004F441E" w:rsidRDefault="00844C2D" w:rsidP="004F441E">
      <w:pPr>
        <w:ind w:firstLine="720"/>
        <w:rPr>
          <w:rFonts w:ascii="Palatino Linotype" w:hAnsi="Palatino Linotype" w:cs="Garamond"/>
          <w:szCs w:val="20"/>
        </w:rPr>
      </w:pPr>
      <w:hyperlink r:id="rId9" w:history="1">
        <w:r w:rsidRPr="00FA0A84">
          <w:rPr>
            <w:rStyle w:val="Hyperlink"/>
            <w:rFonts w:ascii="Palatino Linotype" w:hAnsi="Palatino Linotype" w:cs="Garamond"/>
            <w:szCs w:val="20"/>
          </w:rPr>
          <w:t>https://www.poetryintranslation.com/PITBR</w:t>
        </w:r>
        <w:r w:rsidRPr="00FA0A84">
          <w:rPr>
            <w:rStyle w:val="Hyperlink"/>
            <w:rFonts w:ascii="Palatino Linotype" w:hAnsi="Palatino Linotype" w:cs="Garamond"/>
            <w:szCs w:val="20"/>
          </w:rPr>
          <w:t>/</w:t>
        </w:r>
        <w:r w:rsidRPr="00FA0A84">
          <w:rPr>
            <w:rStyle w:val="Hyperlink"/>
            <w:rFonts w:ascii="Palatino Linotype" w:hAnsi="Palatino Linotype" w:cs="Garamond"/>
            <w:szCs w:val="20"/>
          </w:rPr>
          <w:t>Italian/PetrarchCanzoniere184-244.php</w:t>
        </w:r>
      </w:hyperlink>
      <w:r>
        <w:rPr>
          <w:rFonts w:ascii="Palatino Linotype" w:hAnsi="Palatino Linotype" w:cs="Garamond"/>
          <w:szCs w:val="20"/>
        </w:rPr>
        <w:t xml:space="preserve"> </w:t>
      </w:r>
    </w:p>
    <w:sectPr w:rsidR="00E0295A" w:rsidRPr="004F441E" w:rsidSect="00991819">
      <w:headerReference w:type="even" r:id="rId10"/>
      <w:headerReference w:type="default" r:id="rId11"/>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3F" w:rsidRDefault="00DB523F">
      <w:r>
        <w:separator/>
      </w:r>
    </w:p>
  </w:endnote>
  <w:endnote w:type="continuationSeparator" w:id="0">
    <w:p w:rsidR="00DB523F" w:rsidRDefault="00DB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3F" w:rsidRDefault="00DB523F">
      <w:r>
        <w:separator/>
      </w:r>
    </w:p>
  </w:footnote>
  <w:footnote w:type="continuationSeparator" w:id="0">
    <w:p w:rsidR="00DB523F" w:rsidRDefault="00DB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3D" w:rsidRDefault="00207F3D" w:rsidP="00FA0A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7F3D" w:rsidRDefault="00207F3D" w:rsidP="00207F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3D" w:rsidRPr="00207F3D" w:rsidRDefault="00207F3D" w:rsidP="00FA0A84">
    <w:pPr>
      <w:pStyle w:val="Header"/>
      <w:framePr w:wrap="around" w:vAnchor="text" w:hAnchor="margin" w:xAlign="right" w:y="1"/>
      <w:rPr>
        <w:rStyle w:val="PageNumber"/>
        <w:rFonts w:ascii="Palatino Linotype" w:hAnsi="Palatino Linotype"/>
      </w:rPr>
    </w:pPr>
    <w:r w:rsidRPr="00207F3D">
      <w:rPr>
        <w:rStyle w:val="PageNumber"/>
        <w:rFonts w:ascii="Palatino Linotype" w:hAnsi="Palatino Linotype"/>
      </w:rPr>
      <w:fldChar w:fldCharType="begin"/>
    </w:r>
    <w:r w:rsidRPr="00207F3D">
      <w:rPr>
        <w:rStyle w:val="PageNumber"/>
        <w:rFonts w:ascii="Palatino Linotype" w:hAnsi="Palatino Linotype"/>
      </w:rPr>
      <w:instrText xml:space="preserve">PAGE  </w:instrText>
    </w:r>
    <w:r w:rsidRPr="00207F3D">
      <w:rPr>
        <w:rStyle w:val="PageNumber"/>
        <w:rFonts w:ascii="Palatino Linotype" w:hAnsi="Palatino Linotype"/>
      </w:rPr>
      <w:fldChar w:fldCharType="separate"/>
    </w:r>
    <w:r w:rsidR="000936FA">
      <w:rPr>
        <w:rStyle w:val="PageNumber"/>
        <w:rFonts w:ascii="Palatino Linotype" w:hAnsi="Palatino Linotype"/>
        <w:noProof/>
      </w:rPr>
      <w:t>2</w:t>
    </w:r>
    <w:r w:rsidRPr="00207F3D">
      <w:rPr>
        <w:rStyle w:val="PageNumber"/>
        <w:rFonts w:ascii="Palatino Linotype" w:hAnsi="Palatino Linotype"/>
      </w:rPr>
      <w:fldChar w:fldCharType="end"/>
    </w:r>
  </w:p>
  <w:p w:rsidR="0002292C" w:rsidRPr="00207F3D" w:rsidRDefault="00207F3D" w:rsidP="00207F3D">
    <w:pPr>
      <w:pStyle w:val="Header"/>
      <w:ind w:right="360"/>
      <w:jc w:val="right"/>
      <w:rPr>
        <w:rFonts w:ascii="Palatino Linotype" w:hAnsi="Palatino Linotype" w:cs="Century Schoolbook"/>
        <w:bCs/>
        <w:szCs w:val="18"/>
      </w:rPr>
    </w:pPr>
    <w:r w:rsidRPr="00207F3D">
      <w:rPr>
        <w:rFonts w:ascii="Palatino Linotype" w:hAnsi="Palatino Linotype" w:cs="Century Schoolbook"/>
        <w:bCs/>
        <w:szCs w:val="18"/>
      </w:rPr>
      <w:t>Herbert, Wyatt, Petrarch, Gospels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BB"/>
    <w:rsid w:val="000936FA"/>
    <w:rsid w:val="00122E1C"/>
    <w:rsid w:val="001A78A0"/>
    <w:rsid w:val="001F637E"/>
    <w:rsid w:val="00207F3D"/>
    <w:rsid w:val="00340EBB"/>
    <w:rsid w:val="003604A0"/>
    <w:rsid w:val="004F441E"/>
    <w:rsid w:val="00533CDC"/>
    <w:rsid w:val="00550FF5"/>
    <w:rsid w:val="0057374A"/>
    <w:rsid w:val="005D13F6"/>
    <w:rsid w:val="00655902"/>
    <w:rsid w:val="00673D40"/>
    <w:rsid w:val="006E10B0"/>
    <w:rsid w:val="00700C0F"/>
    <w:rsid w:val="00844C2D"/>
    <w:rsid w:val="0084638A"/>
    <w:rsid w:val="00847B59"/>
    <w:rsid w:val="00866180"/>
    <w:rsid w:val="00874282"/>
    <w:rsid w:val="00937945"/>
    <w:rsid w:val="00991819"/>
    <w:rsid w:val="009D150E"/>
    <w:rsid w:val="00A33629"/>
    <w:rsid w:val="00A61806"/>
    <w:rsid w:val="00AE2A21"/>
    <w:rsid w:val="00B976B8"/>
    <w:rsid w:val="00C82E2B"/>
    <w:rsid w:val="00D65CE4"/>
    <w:rsid w:val="00DB154A"/>
    <w:rsid w:val="00DB523F"/>
    <w:rsid w:val="00E0295A"/>
    <w:rsid w:val="00EE638B"/>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2AB11-3D07-4BCC-BED2-A49F4887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EBB"/>
    <w:pPr>
      <w:autoSpaceDE w:val="0"/>
      <w:autoSpaceDN w:val="0"/>
      <w:spacing w:after="0" w:line="240" w:lineRule="auto"/>
    </w:pPr>
    <w:rPr>
      <w:rFonts w:ascii="Arial" w:eastAsiaTheme="minorEastAsia" w:hAnsi="Arial" w:cs="Arial"/>
      <w:sz w:val="22"/>
    </w:rPr>
  </w:style>
  <w:style w:type="paragraph" w:styleId="Heading3">
    <w:name w:val="heading 3"/>
    <w:basedOn w:val="Normal"/>
    <w:link w:val="Heading3Char"/>
    <w:uiPriority w:val="9"/>
    <w:qFormat/>
    <w:rsid w:val="00991819"/>
    <w:pPr>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EBB"/>
    <w:pPr>
      <w:tabs>
        <w:tab w:val="center" w:pos="4320"/>
        <w:tab w:val="right" w:pos="8640"/>
      </w:tabs>
    </w:pPr>
  </w:style>
  <w:style w:type="character" w:customStyle="1" w:styleId="HeaderChar">
    <w:name w:val="Header Char"/>
    <w:basedOn w:val="DefaultParagraphFont"/>
    <w:link w:val="Header"/>
    <w:uiPriority w:val="99"/>
    <w:rsid w:val="00340EBB"/>
    <w:rPr>
      <w:rFonts w:ascii="Arial" w:eastAsiaTheme="minorEastAsia" w:hAnsi="Arial" w:cs="Arial"/>
      <w:sz w:val="22"/>
    </w:rPr>
  </w:style>
  <w:style w:type="character" w:customStyle="1" w:styleId="Heading3Char">
    <w:name w:val="Heading 3 Char"/>
    <w:basedOn w:val="DefaultParagraphFont"/>
    <w:link w:val="Heading3"/>
    <w:uiPriority w:val="9"/>
    <w:rsid w:val="009918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1819"/>
    <w:pPr>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04A0"/>
    <w:rPr>
      <w:color w:val="0000FF"/>
      <w:u w:val="single"/>
    </w:rPr>
  </w:style>
  <w:style w:type="character" w:styleId="FollowedHyperlink">
    <w:name w:val="FollowedHyperlink"/>
    <w:basedOn w:val="DefaultParagraphFont"/>
    <w:uiPriority w:val="99"/>
    <w:semiHidden/>
    <w:unhideWhenUsed/>
    <w:rsid w:val="00DB154A"/>
    <w:rPr>
      <w:color w:val="954F72" w:themeColor="followedHyperlink"/>
      <w:u w:val="single"/>
    </w:rPr>
  </w:style>
  <w:style w:type="character" w:styleId="PageNumber">
    <w:name w:val="page number"/>
    <w:basedOn w:val="DefaultParagraphFont"/>
    <w:uiPriority w:val="99"/>
    <w:semiHidden/>
    <w:unhideWhenUsed/>
    <w:rsid w:val="00207F3D"/>
  </w:style>
  <w:style w:type="paragraph" w:styleId="Footer">
    <w:name w:val="footer"/>
    <w:basedOn w:val="Normal"/>
    <w:link w:val="FooterChar"/>
    <w:uiPriority w:val="99"/>
    <w:unhideWhenUsed/>
    <w:rsid w:val="00207F3D"/>
    <w:pPr>
      <w:tabs>
        <w:tab w:val="center" w:pos="4680"/>
        <w:tab w:val="right" w:pos="9360"/>
      </w:tabs>
    </w:pPr>
  </w:style>
  <w:style w:type="character" w:customStyle="1" w:styleId="FooterChar">
    <w:name w:val="Footer Char"/>
    <w:basedOn w:val="DefaultParagraphFont"/>
    <w:link w:val="Footer"/>
    <w:uiPriority w:val="99"/>
    <w:rsid w:val="00207F3D"/>
    <w:rPr>
      <w:rFonts w:ascii="Arial" w:eastAsiaTheme="minorEastAsia"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intranslation.com/Admin/Copyright.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oetryintranslation.com/Admin/Copyright.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a601202.us.archive.org/20/items/templesacredpoem00herb/templesacredpoem00herb.pdf"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oetryintranslation.com/PITBR/Italian/PetrarchCanzoniere184-24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498</Words>
  <Characters>3133</Characters>
  <Application>Microsoft Office Word</Application>
  <DocSecurity>0</DocSecurity>
  <Lines>241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22</cp:revision>
  <cp:lastPrinted>2023-02-10T13:58:00Z</cp:lastPrinted>
  <dcterms:created xsi:type="dcterms:W3CDTF">2022-12-08T15:50:00Z</dcterms:created>
  <dcterms:modified xsi:type="dcterms:W3CDTF">2023-02-10T13:59:00Z</dcterms:modified>
</cp:coreProperties>
</file>